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15B02F5A" w14:textId="77777777" w:rsidR="002D5388" w:rsidRDefault="002D5388" w:rsidP="002D538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spellStart"/>
      <w:r>
        <w:rPr>
          <w:rStyle w:val="Strong"/>
          <w:rFonts w:ascii="Segoe UI" w:hAnsi="Segoe UI" w:cs="Segoe UI"/>
          <w:color w:val="212529"/>
        </w:rPr>
        <w:t>Roseburia</w:t>
      </w:r>
      <w:proofErr w:type="spellEnd"/>
      <w:r>
        <w:rPr>
          <w:rStyle w:val="Strong"/>
          <w:rFonts w:ascii="Segoe UI" w:hAnsi="Segoe UI" w:cs="Segoe UI"/>
          <w:color w:val="212529"/>
        </w:rPr>
        <w:t xml:space="preserve"> intestinalis: a new venue in immunotherapy landscape for colorectal cancer - Kang X, Liu C, Ding Y, et al. </w:t>
      </w:r>
    </w:p>
    <w:p w14:paraId="23155980" w14:textId="77777777" w:rsidR="002D5388" w:rsidRDefault="002D5388" w:rsidP="002D538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Emphasis"/>
          <w:rFonts w:ascii="Segoe UI" w:hAnsi="Segoe UI" w:cs="Segoe UI"/>
          <w:color w:val="212529"/>
        </w:rPr>
        <w:t>Kang X, Liu C, Ding Y, et al.</w:t>
      </w:r>
      <w:hyperlink r:id="rId5" w:history="1">
        <w:r>
          <w:rPr>
            <w:rStyle w:val="Hyperlink"/>
            <w:rFonts w:ascii="Segoe UI" w:hAnsi="Segoe UI" w:cs="Segoe UI"/>
            <w:i/>
            <w:iCs/>
          </w:rPr>
          <w:t> </w:t>
        </w:r>
        <w:proofErr w:type="spellStart"/>
        <w:r>
          <w:rPr>
            <w:rStyle w:val="Hyperlink"/>
            <w:rFonts w:ascii="Segoe UI" w:hAnsi="Segoe UI" w:cs="Segoe UI"/>
            <w:i/>
            <w:iCs/>
          </w:rPr>
          <w:t>Roseburia</w:t>
        </w:r>
        <w:proofErr w:type="spellEnd"/>
        <w:r>
          <w:rPr>
            <w:rStyle w:val="Hyperlink"/>
            <w:rFonts w:ascii="Segoe UI" w:hAnsi="Segoe UI" w:cs="Segoe UI"/>
            <w:i/>
            <w:iCs/>
          </w:rPr>
          <w:t xml:space="preserve"> intestinalis generated butyrate boosts anti-PD-1 efficacy in colorectal cancer by activating cytotoxic CD8</w:t>
        </w:r>
        <w:r>
          <w:rPr>
            <w:rStyle w:val="Hyperlink"/>
            <w:rFonts w:ascii="Segoe UI" w:hAnsi="Segoe UI" w:cs="Segoe UI"/>
            <w:i/>
            <w:iCs/>
            <w:sz w:val="18"/>
            <w:szCs w:val="18"/>
            <w:vertAlign w:val="superscript"/>
          </w:rPr>
          <w:t>+ </w:t>
        </w:r>
        <w:r>
          <w:rPr>
            <w:rStyle w:val="Hyperlink"/>
            <w:rFonts w:ascii="Segoe UI" w:hAnsi="Segoe UI" w:cs="Segoe UI"/>
            <w:i/>
            <w:iCs/>
          </w:rPr>
          <w:t>T cells.</w:t>
        </w:r>
      </w:hyperlink>
      <w:r>
        <w:rPr>
          <w:rStyle w:val="Emphasis"/>
          <w:rFonts w:ascii="Segoe UI" w:hAnsi="Segoe UI" w:cs="Segoe UI"/>
          <w:color w:val="212529"/>
        </w:rPr>
        <w:t xml:space="preserve"> Gut 2023; 72: 2112-2122. </w:t>
      </w:r>
      <w:proofErr w:type="spellStart"/>
      <w:r>
        <w:rPr>
          <w:rStyle w:val="Emphasis"/>
          <w:rFonts w:ascii="Segoe UI" w:hAnsi="Segoe UI" w:cs="Segoe UI"/>
          <w:color w:val="212529"/>
        </w:rPr>
        <w:t>doi</w:t>
      </w:r>
      <w:proofErr w:type="spellEnd"/>
      <w:r>
        <w:rPr>
          <w:rStyle w:val="Emphasis"/>
          <w:rFonts w:ascii="Segoe UI" w:hAnsi="Segoe UI" w:cs="Segoe UI"/>
          <w:color w:val="212529"/>
        </w:rPr>
        <w:t>: 10.1136/gutjnl-2023-330291</w:t>
      </w:r>
    </w:p>
    <w:p w14:paraId="05175A1F" w14:textId="77777777" w:rsidR="002D5388" w:rsidRDefault="002D5388" w:rsidP="002D538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Colorectal cancer (CRC) is a major cause of cancer-related mortality worldwide. Although immunotherapy has revolutionised the treatment landscape of several cancers, the benefit in CRC is limited to patients with microsatellite instability (MSI)-high subtype, which has been shown to be responsive to immune checkpoint inhibitors such as programmed cell death protein 1 (PD-1) inhibitor. The major challenge lies in the fact that most CRC tumours (~85%) are microsatellite stable (MSS) and considered to be “immune-cold”. Gut microbiome-mediated immunomodulation could be leveraged to enhance the efficacy of immunotherapy for CRC.</w:t>
      </w:r>
    </w:p>
    <w:p w14:paraId="6BE909D6" w14:textId="77777777" w:rsidR="002D5388" w:rsidRDefault="002D5388" w:rsidP="002D538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Kang </w:t>
      </w:r>
      <w:r>
        <w:rPr>
          <w:rStyle w:val="Emphasis"/>
          <w:rFonts w:ascii="Segoe UI" w:hAnsi="Segoe UI" w:cs="Segoe UI"/>
          <w:color w:val="212529"/>
        </w:rPr>
        <w:t>et al.,</w:t>
      </w:r>
      <w:r>
        <w:rPr>
          <w:rFonts w:ascii="Segoe UI" w:hAnsi="Segoe UI" w:cs="Segoe UI"/>
          <w:color w:val="212529"/>
        </w:rPr>
        <w:t xml:space="preserve"> studied the role of probiotic species, </w:t>
      </w:r>
      <w:proofErr w:type="spellStart"/>
      <w:r>
        <w:rPr>
          <w:rFonts w:ascii="Segoe UI" w:hAnsi="Segoe UI" w:cs="Segoe UI"/>
          <w:color w:val="212529"/>
        </w:rPr>
        <w:t>Roseburia</w:t>
      </w:r>
      <w:proofErr w:type="spellEnd"/>
      <w:r>
        <w:rPr>
          <w:rFonts w:ascii="Segoe UI" w:hAnsi="Segoe UI" w:cs="Segoe UI"/>
          <w:color w:val="212529"/>
        </w:rPr>
        <w:t xml:space="preserve"> intestinalis (</w:t>
      </w:r>
      <w:r>
        <w:rPr>
          <w:rStyle w:val="Emphasis"/>
          <w:rFonts w:ascii="Segoe UI" w:hAnsi="Segoe UI" w:cs="Segoe UI"/>
          <w:color w:val="212529"/>
        </w:rPr>
        <w:t>R. intestinalis</w:t>
      </w:r>
      <w:r>
        <w:rPr>
          <w:rFonts w:ascii="Segoe UI" w:hAnsi="Segoe UI" w:cs="Segoe UI"/>
          <w:color w:val="212529"/>
        </w:rPr>
        <w:t xml:space="preserve">), in colorectal </w:t>
      </w:r>
      <w:proofErr w:type="spellStart"/>
      <w:r>
        <w:rPr>
          <w:rFonts w:ascii="Segoe UI" w:hAnsi="Segoe UI" w:cs="Segoe UI"/>
          <w:color w:val="212529"/>
        </w:rPr>
        <w:t>tumourigenesis</w:t>
      </w:r>
      <w:proofErr w:type="spellEnd"/>
      <w:r>
        <w:rPr>
          <w:rFonts w:ascii="Segoe UI" w:hAnsi="Segoe UI" w:cs="Segoe UI"/>
          <w:color w:val="212529"/>
        </w:rPr>
        <w:t xml:space="preserve"> and immunotherapy by using multiple mouse models. </w:t>
      </w:r>
      <w:r>
        <w:rPr>
          <w:rStyle w:val="Emphasis"/>
          <w:rFonts w:ascii="Segoe UI" w:hAnsi="Segoe UI" w:cs="Segoe UI"/>
          <w:color w:val="212529"/>
        </w:rPr>
        <w:t>R. intestinalis</w:t>
      </w:r>
      <w:r>
        <w:rPr>
          <w:rFonts w:ascii="Segoe UI" w:hAnsi="Segoe UI" w:cs="Segoe UI"/>
          <w:color w:val="212529"/>
        </w:rPr>
        <w:t> was found to be significantly depleted in patients with CRC compared with healthy controls. The administration of </w:t>
      </w:r>
      <w:r>
        <w:rPr>
          <w:rStyle w:val="Emphasis"/>
          <w:rFonts w:ascii="Segoe UI" w:hAnsi="Segoe UI" w:cs="Segoe UI"/>
          <w:color w:val="212529"/>
        </w:rPr>
        <w:t>R. intestinalis</w:t>
      </w:r>
      <w:r>
        <w:rPr>
          <w:rFonts w:ascii="Segoe UI" w:hAnsi="Segoe UI" w:cs="Segoe UI"/>
          <w:color w:val="212529"/>
        </w:rPr>
        <w:t> was shown to inhibit tumour formation and restore gut barrier function. While MSS-type CRC models were resistant to anti-PD-1 monotherapy, </w:t>
      </w:r>
      <w:r>
        <w:rPr>
          <w:rStyle w:val="Emphasis"/>
          <w:rFonts w:ascii="Segoe UI" w:hAnsi="Segoe UI" w:cs="Segoe UI"/>
          <w:color w:val="212529"/>
        </w:rPr>
        <w:t>R. intestinalis</w:t>
      </w:r>
      <w:r>
        <w:rPr>
          <w:rFonts w:ascii="Segoe UI" w:hAnsi="Segoe UI" w:cs="Segoe UI"/>
          <w:color w:val="212529"/>
        </w:rPr>
        <w:t> led to a significant reduction in tumour weight and size in these models.</w:t>
      </w:r>
    </w:p>
    <w:p w14:paraId="662B47E2" w14:textId="77777777" w:rsidR="002D5388" w:rsidRDefault="002D5388" w:rsidP="002D538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Additionally, the combination of </w:t>
      </w:r>
      <w:r>
        <w:rPr>
          <w:rStyle w:val="Emphasis"/>
          <w:rFonts w:ascii="Segoe UI" w:hAnsi="Segoe UI" w:cs="Segoe UI"/>
          <w:color w:val="212529"/>
        </w:rPr>
        <w:t>R. intestinalis </w:t>
      </w:r>
      <w:r>
        <w:rPr>
          <w:rFonts w:ascii="Segoe UI" w:hAnsi="Segoe UI" w:cs="Segoe UI"/>
          <w:color w:val="212529"/>
        </w:rPr>
        <w:t>with anti-PD1 synergised the anti-tumour effects of </w:t>
      </w:r>
      <w:r>
        <w:rPr>
          <w:rStyle w:val="Emphasis"/>
          <w:rFonts w:ascii="Segoe UI" w:hAnsi="Segoe UI" w:cs="Segoe UI"/>
          <w:color w:val="212529"/>
        </w:rPr>
        <w:t>R.  intestinalis </w:t>
      </w:r>
      <w:r>
        <w:rPr>
          <w:rFonts w:ascii="Segoe UI" w:hAnsi="Segoe UI" w:cs="Segoe UI"/>
          <w:color w:val="212529"/>
        </w:rPr>
        <w:t>in MSS-type tumours. This tumour-suppressive function was found to be mainly mediated through butyrate; a metabolite produced by </w:t>
      </w:r>
      <w:r>
        <w:rPr>
          <w:rStyle w:val="Emphasis"/>
          <w:rFonts w:ascii="Segoe UI" w:hAnsi="Segoe UI" w:cs="Segoe UI"/>
          <w:color w:val="212529"/>
        </w:rPr>
        <w:t>R. intestinalis</w:t>
      </w:r>
      <w:r>
        <w:rPr>
          <w:rFonts w:ascii="Segoe UI" w:hAnsi="Segoe UI" w:cs="Segoe UI"/>
          <w:color w:val="212529"/>
        </w:rPr>
        <w:t>. They suppressed tumour growth by inducing cytotoxic granzyme B+, interferon (IFN)-γ+ and tumour necrosis factor (TNF)-α CD8+ T cells in MSI-high and MSS CRC mouse models.  Mechanistically, butyrate directly induced the activity of CD8+ T cells by binding to toll-like receptor 5 (TLR5) and activating nuclear factor kappa B (NF-</w:t>
      </w:r>
      <w:proofErr w:type="spellStart"/>
      <w:r>
        <w:rPr>
          <w:rFonts w:ascii="Segoe UI" w:hAnsi="Segoe UI" w:cs="Segoe UI"/>
          <w:color w:val="212529"/>
        </w:rPr>
        <w:t>κB</w:t>
      </w:r>
      <w:proofErr w:type="spellEnd"/>
      <w:r>
        <w:rPr>
          <w:rFonts w:ascii="Segoe UI" w:hAnsi="Segoe UI" w:cs="Segoe UI"/>
          <w:color w:val="212529"/>
        </w:rPr>
        <w:t>) signalling.</w:t>
      </w:r>
    </w:p>
    <w:p w14:paraId="7B5F1B0B" w14:textId="4CC0DBC5" w:rsidR="00DD3D75" w:rsidRPr="000443E7" w:rsidRDefault="002D5388" w:rsidP="002D538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This study sheds light on the role of </w:t>
      </w:r>
      <w:r>
        <w:rPr>
          <w:rStyle w:val="Emphasis"/>
          <w:rFonts w:ascii="Segoe UI" w:hAnsi="Segoe UI" w:cs="Segoe UI"/>
          <w:color w:val="212529"/>
        </w:rPr>
        <w:t>R. intestinalis </w:t>
      </w:r>
      <w:r>
        <w:rPr>
          <w:rFonts w:ascii="Segoe UI" w:hAnsi="Segoe UI" w:cs="Segoe UI"/>
          <w:color w:val="212529"/>
        </w:rPr>
        <w:t>as a potential adjuvant therapy to augment treatment efficacy in CRC, especially in patients with anti-PD1 therapy resistance.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246A9F"/>
    <w:rsid w:val="002D5388"/>
    <w:rsid w:val="0031385C"/>
    <w:rsid w:val="00563322"/>
    <w:rsid w:val="00A6790F"/>
    <w:rsid w:val="00B8275A"/>
    <w:rsid w:val="00B82D68"/>
    <w:rsid w:val="00C814D5"/>
    <w:rsid w:val="00CF5E7E"/>
    <w:rsid w:val="00DD3D75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2/11/21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2024-02-21T13:21:00Z</dcterms:created>
  <dcterms:modified xsi:type="dcterms:W3CDTF">2024-02-21T13:21:00Z</dcterms:modified>
</cp:coreProperties>
</file>