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1E48D22A" w14:textId="77777777" w:rsidR="00F16A42" w:rsidRDefault="00F16A42" w:rsidP="00F16A42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 xml:space="preserve">Three-in-one single capsule bismuth quadruple therapy is more effective at three than four times daily dosing. - </w:t>
      </w:r>
      <w:proofErr w:type="spellStart"/>
      <w:r>
        <w:rPr>
          <w:rStyle w:val="Strong"/>
          <w:rFonts w:ascii="Segoe UI" w:hAnsi="Segoe UI" w:cs="Segoe UI"/>
          <w:color w:val="212529"/>
        </w:rPr>
        <w:t>Pérez-Aisa</w:t>
      </w:r>
      <w:proofErr w:type="spellEnd"/>
      <w:r>
        <w:rPr>
          <w:rStyle w:val="Strong"/>
          <w:rFonts w:ascii="Segoe UI" w:hAnsi="Segoe UI" w:cs="Segoe UI"/>
          <w:color w:val="212529"/>
        </w:rPr>
        <w:t xml:space="preserve"> A, Nyssen O, </w:t>
      </w:r>
      <w:proofErr w:type="spellStart"/>
      <w:r>
        <w:rPr>
          <w:rStyle w:val="Strong"/>
          <w:rFonts w:ascii="Segoe UI" w:hAnsi="Segoe UI" w:cs="Segoe UI"/>
          <w:color w:val="212529"/>
        </w:rPr>
        <w:t>Keco-Huerga</w:t>
      </w:r>
      <w:proofErr w:type="spellEnd"/>
      <w:r>
        <w:rPr>
          <w:rStyle w:val="Strong"/>
          <w:rFonts w:ascii="Segoe UI" w:hAnsi="Segoe UI" w:cs="Segoe UI"/>
          <w:color w:val="212529"/>
        </w:rPr>
        <w:t xml:space="preserve"> A et al.</w:t>
      </w:r>
    </w:p>
    <w:p w14:paraId="6AB3674D" w14:textId="77777777" w:rsidR="00F16A42" w:rsidRDefault="00F16A42" w:rsidP="00F16A42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proofErr w:type="spellStart"/>
      <w:r>
        <w:rPr>
          <w:rStyle w:val="Emphasis"/>
          <w:rFonts w:ascii="Segoe UI" w:hAnsi="Segoe UI" w:cs="Segoe UI"/>
          <w:color w:val="212529"/>
        </w:rPr>
        <w:t>Pérez-Aisa</w:t>
      </w:r>
      <w:proofErr w:type="spellEnd"/>
      <w:r>
        <w:rPr>
          <w:rStyle w:val="Emphasis"/>
          <w:rFonts w:ascii="Segoe UI" w:hAnsi="Segoe UI" w:cs="Segoe UI"/>
          <w:color w:val="212529"/>
        </w:rPr>
        <w:t xml:space="preserve"> A, Nyssen O, </w:t>
      </w:r>
      <w:proofErr w:type="spellStart"/>
      <w:r>
        <w:rPr>
          <w:rStyle w:val="Emphasis"/>
          <w:rFonts w:ascii="Segoe UI" w:hAnsi="Segoe UI" w:cs="Segoe UI"/>
          <w:color w:val="212529"/>
        </w:rPr>
        <w:t>Keco-Huerga</w:t>
      </w:r>
      <w:proofErr w:type="spellEnd"/>
      <w:r>
        <w:rPr>
          <w:rStyle w:val="Emphasis"/>
          <w:rFonts w:ascii="Segoe UI" w:hAnsi="Segoe UI" w:cs="Segoe UI"/>
          <w:color w:val="212529"/>
        </w:rPr>
        <w:t xml:space="preserve"> A et al. </w:t>
      </w:r>
      <w:hyperlink r:id="rId5" w:history="1">
        <w:r>
          <w:rPr>
            <w:rStyle w:val="Hyperlink"/>
            <w:rFonts w:ascii="Segoe UI" w:hAnsi="Segoe UI" w:cs="Segoe UI"/>
            <w:i/>
            <w:iCs/>
          </w:rPr>
          <w:t>Bismuth quadruple three-in-one single capsule three times a day increases effectiveness compared with the usual four times a day schedule: results from the European Registry on Helicobacter pylori Management (Hp-</w:t>
        </w:r>
        <w:proofErr w:type="spellStart"/>
        <w:r>
          <w:rPr>
            <w:rStyle w:val="Hyperlink"/>
            <w:rFonts w:ascii="Segoe UI" w:hAnsi="Segoe UI" w:cs="Segoe UI"/>
            <w:i/>
            <w:iCs/>
          </w:rPr>
          <w:t>EuReg</w:t>
        </w:r>
        <w:proofErr w:type="spellEnd"/>
        <w:r>
          <w:rPr>
            <w:rStyle w:val="Hyperlink"/>
            <w:rFonts w:ascii="Segoe UI" w:hAnsi="Segoe UI" w:cs="Segoe UI"/>
            <w:i/>
            <w:iCs/>
          </w:rPr>
          <w:t>).</w:t>
        </w:r>
      </w:hyperlink>
      <w:r>
        <w:rPr>
          <w:rStyle w:val="Emphasis"/>
          <w:rFonts w:ascii="Segoe UI" w:hAnsi="Segoe UI" w:cs="Segoe UI"/>
          <w:color w:val="212529"/>
        </w:rPr>
        <w:t xml:space="preserve"> Gut 2023; 72(11): 2031-2037. </w:t>
      </w:r>
      <w:proofErr w:type="spellStart"/>
      <w:r>
        <w:rPr>
          <w:rStyle w:val="Emphasis"/>
          <w:rFonts w:ascii="Segoe UI" w:hAnsi="Segoe UI" w:cs="Segoe UI"/>
          <w:color w:val="212529"/>
        </w:rPr>
        <w:t>doi</w:t>
      </w:r>
      <w:proofErr w:type="spellEnd"/>
      <w:r>
        <w:rPr>
          <w:rStyle w:val="Emphasis"/>
          <w:rFonts w:ascii="Segoe UI" w:hAnsi="Segoe UI" w:cs="Segoe UI"/>
          <w:color w:val="212529"/>
        </w:rPr>
        <w:t>: 10.1136/gutjnl-2022-329259</w:t>
      </w:r>
    </w:p>
    <w:p w14:paraId="7F8EF133" w14:textId="77777777" w:rsidR="00F16A42" w:rsidRDefault="00F16A42" w:rsidP="00F16A42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Heliobacter pylori infects over half of the world’s population and is linked to </w:t>
      </w:r>
      <w:proofErr w:type="gramStart"/>
      <w:r>
        <w:rPr>
          <w:rFonts w:ascii="Segoe UI" w:hAnsi="Segoe UI" w:cs="Segoe UI"/>
          <w:color w:val="212529"/>
        </w:rPr>
        <w:t>a number of</w:t>
      </w:r>
      <w:proofErr w:type="gramEnd"/>
      <w:r>
        <w:rPr>
          <w:rFonts w:ascii="Segoe UI" w:hAnsi="Segoe UI" w:cs="Segoe UI"/>
          <w:color w:val="212529"/>
        </w:rPr>
        <w:t xml:space="preserve"> gastrointestinal diseases. With a global increase in antibiotic resistance, consensus conferences recommend using treatments with a minimal 90% cure rate, and contemporary studies have steered away from triple therapies and towards quadruple therapies consisting of a proton pump inhibitor (PPI), antibiotics and, in some schedules adjuvant bismuth. With the commercialisation of a three-in-one capsule (containing 140mg bismuth </w:t>
      </w:r>
      <w:proofErr w:type="spellStart"/>
      <w:r>
        <w:rPr>
          <w:rFonts w:ascii="Segoe UI" w:hAnsi="Segoe UI" w:cs="Segoe UI"/>
          <w:color w:val="212529"/>
        </w:rPr>
        <w:t>subcitrate</w:t>
      </w:r>
      <w:proofErr w:type="spellEnd"/>
      <w:r>
        <w:rPr>
          <w:rFonts w:ascii="Segoe UI" w:hAnsi="Segoe UI" w:cs="Segoe UI"/>
          <w:color w:val="212529"/>
        </w:rPr>
        <w:t xml:space="preserve"> potassium, 125mg metronidazole and 125mg tetracycline), which simplifies the prescription schedule, there has been growing enthusiasm for single capsule bismuth quadruple therapy (</w:t>
      </w:r>
      <w:proofErr w:type="spellStart"/>
      <w:r>
        <w:rPr>
          <w:rFonts w:ascii="Segoe UI" w:hAnsi="Segoe UI" w:cs="Segoe UI"/>
          <w:color w:val="212529"/>
        </w:rPr>
        <w:t>scBQT</w:t>
      </w:r>
      <w:proofErr w:type="spellEnd"/>
      <w:r>
        <w:rPr>
          <w:rFonts w:ascii="Segoe UI" w:hAnsi="Segoe UI" w:cs="Segoe UI"/>
          <w:color w:val="212529"/>
        </w:rPr>
        <w:t>).</w:t>
      </w:r>
    </w:p>
    <w:p w14:paraId="29C837E0" w14:textId="77777777" w:rsidR="00F16A42" w:rsidRDefault="00F16A42" w:rsidP="00F16A42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The recommended dosing regime, according to the </w:t>
      </w:r>
      <w:proofErr w:type="spellStart"/>
      <w:r>
        <w:rPr>
          <w:rFonts w:ascii="Segoe UI" w:hAnsi="Segoe UI" w:cs="Segoe UI"/>
          <w:color w:val="212529"/>
        </w:rPr>
        <w:t>scBQT</w:t>
      </w:r>
      <w:proofErr w:type="spellEnd"/>
      <w:r>
        <w:rPr>
          <w:rFonts w:ascii="Segoe UI" w:hAnsi="Segoe UI" w:cs="Segoe UI"/>
          <w:color w:val="212529"/>
        </w:rPr>
        <w:t xml:space="preserve"> technical datasheet, is three capsules every 6 hours (four times a day) plus concomitant omeprazole 20 mg two times a day. Whilst in practice, gastroenterologists often modify this regime to four capsules three times a day to adapt to mealtimes and facilitate adherence, the efficacy and safety of this approach had yet to be evaluated.</w:t>
      </w:r>
    </w:p>
    <w:p w14:paraId="7B5F1B0B" w14:textId="321DB405" w:rsidR="00DD3D75" w:rsidRPr="000443E7" w:rsidRDefault="00F16A42" w:rsidP="00F16A42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In this study, </w:t>
      </w:r>
      <w:proofErr w:type="spellStart"/>
      <w:r>
        <w:rPr>
          <w:rFonts w:ascii="Segoe UI" w:hAnsi="Segoe UI" w:cs="Segoe UI"/>
          <w:color w:val="212529"/>
        </w:rPr>
        <w:t>Pérez-Aisa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Style w:val="Emphasis"/>
          <w:rFonts w:ascii="Segoe UI" w:hAnsi="Segoe UI" w:cs="Segoe UI"/>
          <w:color w:val="212529"/>
        </w:rPr>
        <w:t>et al.,</w:t>
      </w:r>
      <w:r>
        <w:rPr>
          <w:rFonts w:ascii="Segoe UI" w:hAnsi="Segoe UI" w:cs="Segoe UI"/>
          <w:color w:val="212529"/>
        </w:rPr>
        <w:t xml:space="preserve"> all Spanish adult patients registered in the </w:t>
      </w:r>
      <w:proofErr w:type="spellStart"/>
      <w:r>
        <w:rPr>
          <w:rFonts w:ascii="Segoe UI" w:hAnsi="Segoe UI" w:cs="Segoe UI"/>
          <w:color w:val="212529"/>
        </w:rPr>
        <w:t>Asociación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Española</w:t>
      </w:r>
      <w:proofErr w:type="spellEnd"/>
      <w:r>
        <w:rPr>
          <w:rFonts w:ascii="Segoe UI" w:hAnsi="Segoe UI" w:cs="Segoe UI"/>
          <w:color w:val="212529"/>
        </w:rPr>
        <w:t xml:space="preserve"> de </w:t>
      </w:r>
      <w:proofErr w:type="spellStart"/>
      <w:r>
        <w:rPr>
          <w:rFonts w:ascii="Segoe UI" w:hAnsi="Segoe UI" w:cs="Segoe UI"/>
          <w:color w:val="212529"/>
        </w:rPr>
        <w:t>Gastroenterología</w:t>
      </w:r>
      <w:proofErr w:type="spellEnd"/>
      <w:r>
        <w:rPr>
          <w:rFonts w:ascii="Segoe UI" w:hAnsi="Segoe UI" w:cs="Segoe UI"/>
          <w:color w:val="212529"/>
        </w:rPr>
        <w:t xml:space="preserve"> Research Electronic Data Capture (</w:t>
      </w:r>
      <w:proofErr w:type="spellStart"/>
      <w:r>
        <w:rPr>
          <w:rFonts w:ascii="Segoe UI" w:hAnsi="Segoe UI" w:cs="Segoe UI"/>
          <w:color w:val="212529"/>
        </w:rPr>
        <w:t>REDCap</w:t>
      </w:r>
      <w:proofErr w:type="spellEnd"/>
      <w:r>
        <w:rPr>
          <w:rFonts w:ascii="Segoe UI" w:hAnsi="Segoe UI" w:cs="Segoe UI"/>
          <w:color w:val="212529"/>
        </w:rPr>
        <w:t xml:space="preserve">) database from June 2013 to March 2021 receiving 10-day </w:t>
      </w:r>
      <w:proofErr w:type="spellStart"/>
      <w:r>
        <w:rPr>
          <w:rFonts w:ascii="Segoe UI" w:hAnsi="Segoe UI" w:cs="Segoe UI"/>
          <w:color w:val="212529"/>
        </w:rPr>
        <w:t>scBQT</w:t>
      </w:r>
      <w:proofErr w:type="spellEnd"/>
      <w:r>
        <w:rPr>
          <w:rFonts w:ascii="Segoe UI" w:hAnsi="Segoe UI" w:cs="Segoe UI"/>
          <w:color w:val="212529"/>
        </w:rPr>
        <w:t xml:space="preserve"> were analysed, with effectiveness, </w:t>
      </w:r>
      <w:proofErr w:type="gramStart"/>
      <w:r>
        <w:rPr>
          <w:rFonts w:ascii="Segoe UI" w:hAnsi="Segoe UI" w:cs="Segoe UI"/>
          <w:color w:val="212529"/>
        </w:rPr>
        <w:t>adherence</w:t>
      </w:r>
      <w:proofErr w:type="gramEnd"/>
      <w:r>
        <w:rPr>
          <w:rFonts w:ascii="Segoe UI" w:hAnsi="Segoe UI" w:cs="Segoe UI"/>
          <w:color w:val="212529"/>
        </w:rPr>
        <w:t xml:space="preserve"> and safety of </w:t>
      </w:r>
      <w:proofErr w:type="spellStart"/>
      <w:r>
        <w:rPr>
          <w:rFonts w:ascii="Segoe UI" w:hAnsi="Segoe UI" w:cs="Segoe UI"/>
          <w:color w:val="212529"/>
        </w:rPr>
        <w:t>scBQT</w:t>
      </w:r>
      <w:proofErr w:type="spellEnd"/>
      <w:r>
        <w:rPr>
          <w:rFonts w:ascii="Segoe UI" w:hAnsi="Segoe UI" w:cs="Segoe UI"/>
          <w:color w:val="212529"/>
        </w:rPr>
        <w:t xml:space="preserve"> given with the above three times a day schedule calculated and compared with the four times daily one. Appraising the 3712 cases, the </w:t>
      </w:r>
      <w:proofErr w:type="spellStart"/>
      <w:r>
        <w:rPr>
          <w:rFonts w:ascii="Segoe UI" w:hAnsi="Segoe UI" w:cs="Segoe UI"/>
          <w:color w:val="212529"/>
        </w:rPr>
        <w:t>Pérez-Aisa</w:t>
      </w:r>
      <w:proofErr w:type="spellEnd"/>
      <w:r>
        <w:rPr>
          <w:rFonts w:ascii="Segoe UI" w:hAnsi="Segoe UI" w:cs="Segoe UI"/>
          <w:color w:val="212529"/>
        </w:rPr>
        <w:t> </w:t>
      </w:r>
      <w:r>
        <w:rPr>
          <w:rStyle w:val="Emphasis"/>
          <w:rFonts w:ascii="Segoe UI" w:hAnsi="Segoe UI" w:cs="Segoe UI"/>
          <w:color w:val="212529"/>
        </w:rPr>
        <w:t>et al.,</w:t>
      </w:r>
      <w:r>
        <w:rPr>
          <w:rFonts w:ascii="Segoe UI" w:hAnsi="Segoe UI" w:cs="Segoe UI"/>
          <w:color w:val="212529"/>
        </w:rPr>
        <w:t xml:space="preserve"> strikingly concluded that the four capsules three times a day regime significantly increases cure rates as compared with the recommended schedule – 94% (95% CI (confidence interval) 92.7 to 95.6) vs. 91% (95% CI 89.9 to 92.2) – and that the concomitant use of higher omeprazole doses (40mg two times a day) further increased effectiveness, both groups with comparable safety and </w:t>
      </w:r>
      <w:r>
        <w:rPr>
          <w:rFonts w:ascii="Segoe UI" w:hAnsi="Segoe UI" w:cs="Segoe UI"/>
          <w:color w:val="212529"/>
        </w:rPr>
        <w:lastRenderedPageBreak/>
        <w:t>adherence. These conclusions provide a rare easily implementable, and now evidence-based, practice modification for a commonly encountered entity</w:t>
      </w:r>
      <w:r>
        <w:rPr>
          <w:rFonts w:ascii="Segoe UI" w:hAnsi="Segoe UI" w:cs="Segoe UI"/>
          <w:color w:val="212529"/>
        </w:rPr>
        <w:t>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246A9F"/>
    <w:rsid w:val="00A6790F"/>
    <w:rsid w:val="00B8275A"/>
    <w:rsid w:val="00CF5E7E"/>
    <w:rsid w:val="00DD3D75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2/11/203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2024-02-21T13:17:00Z</dcterms:created>
  <dcterms:modified xsi:type="dcterms:W3CDTF">2024-02-21T13:17:00Z</dcterms:modified>
</cp:coreProperties>
</file>